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line="240" w:lineRule="auto"/>
        <w:jc w:val="both"/>
        <w:rPr>
          <w:sz w:val="20"/>
          <w:szCs w:val="20"/>
          <w:highlight w:val="cyan"/>
        </w:rPr>
      </w:pPr>
      <w:r w:rsidDel="00000000" w:rsidR="00000000" w:rsidRPr="00000000">
        <w:rPr>
          <w:sz w:val="20"/>
          <w:szCs w:val="20"/>
          <w:rtl w:val="0"/>
        </w:rPr>
        <w:t xml:space="preserve">Estimado/a beneficiario/a, para el llenado y suscripción de la licencia de comunicación pública, deberá tomar en cuenta las siguientes indicaciones: </w:t>
      </w:r>
      <w:r w:rsidDel="00000000" w:rsidR="00000000" w:rsidRPr="00000000">
        <w:rPr>
          <w:color w:val="222222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line="240" w:lineRule="auto"/>
        <w:ind w:left="708.6614173228347" w:hanging="6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Verificar en su acta de compromiso el </w:t>
      </w:r>
      <w:r w:rsidDel="00000000" w:rsidR="00000000" w:rsidRPr="00000000">
        <w:rPr>
          <w:b w:val="1"/>
          <w:sz w:val="20"/>
          <w:szCs w:val="20"/>
          <w:highlight w:val="white"/>
          <w:u w:val="single"/>
          <w:rtl w:val="0"/>
        </w:rPr>
        <w:t xml:space="preserve">tipo de licencia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 que le corresponderá suscribir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(</w:t>
      </w:r>
      <w:r w:rsidDel="00000000" w:rsidR="00000000" w:rsidRPr="00000000">
        <w:rPr>
          <w:sz w:val="20"/>
          <w:szCs w:val="20"/>
          <w:highlight w:val="white"/>
          <w:u w:val="single"/>
          <w:rtl w:val="0"/>
        </w:rPr>
        <w:t xml:space="preserve">de acuerdo al objeto de licencia (obra, material promocional, teaser, etc.), territorio y vigencia)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. En caso de no encontrar un modelo que se ajuste a los solicitado en su acta de compromiso, deberá comunicarlo mediante el buzón de comunicaciones y/o al correo electrónico: </w:t>
      </w:r>
      <w:hyperlink r:id="rId6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  <w:rtl w:val="0"/>
          </w:rPr>
          <w:t xml:space="preserve">premioscine@cultura.gob.pe</w:t>
        </w:r>
      </w:hyperlink>
      <w:r w:rsidDel="00000000" w:rsidR="00000000" w:rsidRPr="00000000">
        <w:rPr>
          <w:sz w:val="20"/>
          <w:szCs w:val="20"/>
          <w:highlight w:val="white"/>
          <w:rtl w:val="0"/>
        </w:rPr>
        <w:t xml:space="preserve"> para enviarle el modelo correspondiente, según sea aplicable.</w:t>
      </w:r>
    </w:p>
    <w:p w:rsidR="00000000" w:rsidDel="00000000" w:rsidP="00000000" w:rsidRDefault="00000000" w:rsidRPr="00000000" w14:paraId="00000003">
      <w:pPr>
        <w:spacing w:line="240" w:lineRule="auto"/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240" w:lineRule="auto"/>
        <w:ind w:left="708.6614173228347" w:hanging="6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Consignar los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datos solicitados</w:t>
      </w:r>
      <w:r w:rsidDel="00000000" w:rsidR="00000000" w:rsidRPr="00000000">
        <w:rPr>
          <w:sz w:val="20"/>
          <w:szCs w:val="20"/>
          <w:rtl w:val="0"/>
        </w:rPr>
        <w:t xml:space="preserve"> correctamente en los espacios en blanco. Cabe precisar que el llenado debe realizarse necesariamente a computadora. </w:t>
      </w:r>
    </w:p>
    <w:p w:rsidR="00000000" w:rsidDel="00000000" w:rsidP="00000000" w:rsidRDefault="00000000" w:rsidRPr="00000000" w14:paraId="00000005">
      <w:pPr>
        <w:spacing w:line="240" w:lineRule="auto"/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40" w:lineRule="auto"/>
        <w:ind w:left="708.6614173228347" w:hanging="6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El documento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debe ser visado en cada página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y debidamente firmado a mano alzada al final por el beneficiario </w:t>
      </w:r>
      <w:r w:rsidDel="00000000" w:rsidR="00000000" w:rsidRPr="00000000">
        <w:rPr>
          <w:sz w:val="20"/>
          <w:szCs w:val="20"/>
          <w:rtl w:val="0"/>
        </w:rPr>
        <w:t xml:space="preserve">(en caso se trate de persona natural)  y/o por el representante legal de la persona jurídica beneficiaria. Asimismo, se debe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colocar la fecha</w:t>
      </w:r>
      <w:r w:rsidDel="00000000" w:rsidR="00000000" w:rsidRPr="00000000">
        <w:rPr>
          <w:sz w:val="20"/>
          <w:szCs w:val="20"/>
          <w:rtl w:val="0"/>
        </w:rPr>
        <w:t xml:space="preserve"> en la parte final del documento.</w:t>
      </w:r>
    </w:p>
    <w:p w:rsidR="00000000" w:rsidDel="00000000" w:rsidP="00000000" w:rsidRDefault="00000000" w:rsidRPr="00000000" w14:paraId="00000007">
      <w:pPr>
        <w:spacing w:line="240" w:lineRule="auto"/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708.6614173228347" w:hanging="6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Consignar nombre de la persona jurídica, cargo, nombre del representante y DNI (en caso de persona jurídica) o nombre de la persona natural beneficiaria y DNI (en caso de persona natural), conjuntamente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con la firma en la última hoja del documento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line="240" w:lineRule="auto"/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08.6614173228347" w:hanging="6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En caso de personas jurídicas, el representante legal debe contar con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poderes vigentes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line="240" w:lineRule="auto"/>
        <w:ind w:left="708.6614173228347" w:hanging="6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08.6614173228347" w:hanging="6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Respecto a los derechos de autor, se debe tener en consideración lo siguiente: </w:t>
      </w:r>
    </w:p>
    <w:p w:rsidR="00000000" w:rsidDel="00000000" w:rsidP="00000000" w:rsidRDefault="00000000" w:rsidRPr="00000000" w14:paraId="0000000D">
      <w:pPr>
        <w:spacing w:line="259" w:lineRule="auto"/>
        <w:ind w:left="708.6614173228347" w:hanging="66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59" w:lineRule="auto"/>
        <w:ind w:left="1133.858267716535" w:hanging="57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6.1. Se presume,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salvo pacto en contrario, que los autores de la obra audiovisual </w:t>
      </w:r>
      <w:r w:rsidDel="00000000" w:rsidR="00000000" w:rsidRPr="00000000">
        <w:rPr>
          <w:i w:val="1"/>
          <w:sz w:val="20"/>
          <w:szCs w:val="20"/>
          <w:rtl w:val="0"/>
        </w:rPr>
        <w:t xml:space="preserve">(el(la) director(a); el(la) autor(a) del argumento; el(la) autor(a) del guion; el(la) autor(a) de la música especialmente compuesta para la obra; el(la) dibujante, en caso de diseños animados; y, el(la) autor(a) de la adaptación)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han cedido en forma exclusiva y por toda su duración los derechos patrimoniales al productor/empresa productora</w:t>
      </w:r>
      <w:r w:rsidDel="00000000" w:rsidR="00000000" w:rsidRPr="00000000">
        <w:rPr>
          <w:sz w:val="20"/>
          <w:szCs w:val="20"/>
          <w:rtl w:val="0"/>
        </w:rPr>
        <w:t xml:space="preserve">, y éste queda autorizado para decidir acerca de la divulgación de la obra.</w:t>
      </w:r>
    </w:p>
    <w:p w:rsidR="00000000" w:rsidDel="00000000" w:rsidP="00000000" w:rsidRDefault="00000000" w:rsidRPr="00000000" w14:paraId="0000000F">
      <w:pPr>
        <w:spacing w:line="259" w:lineRule="auto"/>
        <w:ind w:left="1133.858267716535" w:hanging="57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59" w:lineRule="auto"/>
        <w:ind w:left="1133.858267716535" w:hanging="57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6.2. Salvo pacto en contrario entre los coautores,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el director o realizador tiene el ejercicio de los derechos morales sobre la obra audiovisual</w:t>
      </w:r>
      <w:r w:rsidDel="00000000" w:rsidR="00000000" w:rsidRPr="00000000">
        <w:rPr>
          <w:sz w:val="20"/>
          <w:szCs w:val="20"/>
          <w:rtl w:val="0"/>
        </w:rPr>
        <w:t xml:space="preserve">, sin perjuicio de los que correspondan a los coautores </w:t>
      </w:r>
      <w:r w:rsidDel="00000000" w:rsidR="00000000" w:rsidRPr="00000000">
        <w:rPr>
          <w:i w:val="1"/>
          <w:sz w:val="20"/>
          <w:szCs w:val="20"/>
          <w:rtl w:val="0"/>
        </w:rPr>
        <w:t xml:space="preserve">(el(la) director(a); el(la) autor(a) del argumento; el(la) autor(a) del guion; el(la) autor(a) de la música especialmente compuesta para la obra; el(la) dibujante, en caso de diseños animados; y, el(la) autor(a) de la adaptación)</w:t>
      </w:r>
      <w:r w:rsidDel="00000000" w:rsidR="00000000" w:rsidRPr="00000000">
        <w:rPr>
          <w:sz w:val="20"/>
          <w:szCs w:val="20"/>
          <w:rtl w:val="0"/>
        </w:rPr>
        <w:t xml:space="preserve">, en relación con sus respectivas contribuciones, ni de los que pueda ejercer el productor.</w:t>
      </w:r>
    </w:p>
    <w:p w:rsidR="00000000" w:rsidDel="00000000" w:rsidP="00000000" w:rsidRDefault="00000000" w:rsidRPr="00000000" w14:paraId="00000011">
      <w:pPr>
        <w:spacing w:line="259" w:lineRule="auto"/>
        <w:ind w:left="992.1259842519685" w:hanging="57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59" w:lineRule="auto"/>
        <w:ind w:left="1133.858267716535" w:hanging="708.6614173228343"/>
        <w:jc w:val="both"/>
        <w:rPr>
          <w:sz w:val="20"/>
          <w:szCs w:val="20"/>
          <w:highlight w:val="yellow"/>
        </w:rPr>
      </w:pPr>
      <w:r w:rsidDel="00000000" w:rsidR="00000000" w:rsidRPr="00000000">
        <w:rPr>
          <w:sz w:val="20"/>
          <w:szCs w:val="20"/>
          <w:rtl w:val="0"/>
        </w:rPr>
        <w:t xml:space="preserve">   6.3. La Ley sobre el Derecho de Autor (Decreto Legislativo Nº 822) establece que se  presumen titulares de una obra audiovisual: el director (con respecto a los derechos morales) y el productor/empresa productora (con respecto a los derechos patrimoniales).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59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40" w:lineRule="auto"/>
        <w:ind w:left="708.6614173228347" w:hanging="6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En ese sentido, en caso el beneficiario ya no cuente con la titularidad  de los derechos patrimoniales sobre la obra/material objeto de licencia,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deberá presentar adicionalmente por Buzón de Comunicaciones el contrato de cesión de derechos patrimoniales a su favor por parte del titular correspondiente</w:t>
      </w:r>
      <w:r w:rsidDel="00000000" w:rsidR="00000000" w:rsidRPr="00000000">
        <w:rPr>
          <w:sz w:val="20"/>
          <w:szCs w:val="20"/>
          <w:rtl w:val="0"/>
        </w:rPr>
        <w:t xml:space="preserve">. En todos los casos, la licencia de comunicación pública deberá ser suscrita por el titular de derechos patrimoniales de autor respectivo. </w:t>
      </w:r>
    </w:p>
    <w:p w:rsidR="00000000" w:rsidDel="00000000" w:rsidP="00000000" w:rsidRDefault="00000000" w:rsidRPr="00000000" w14:paraId="00000015">
      <w:pPr>
        <w:spacing w:line="259" w:lineRule="auto"/>
        <w:ind w:left="992.1259842519685" w:hanging="57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40" w:lineRule="auto"/>
        <w:ind w:left="708.6614173228347" w:hanging="6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La licencia deberá ser enviada a través de Mesa de partes virtual,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https://plataformamincu.cultura.gob.pe</w:t>
        </w:r>
      </w:hyperlink>
      <w:r w:rsidDel="00000000" w:rsidR="00000000" w:rsidRPr="00000000">
        <w:rPr>
          <w:sz w:val="20"/>
          <w:szCs w:val="20"/>
          <w:rtl w:val="0"/>
        </w:rPr>
        <w:t xml:space="preserve">, como un documento NO TUPA dirigido a la Dirección Audiovisual, la Fonografía y los Nuevos Medios. </w:t>
      </w:r>
    </w:p>
    <w:p w:rsidR="00000000" w:rsidDel="00000000" w:rsidP="00000000" w:rsidRDefault="00000000" w:rsidRPr="00000000" w14:paraId="00000017">
      <w:pPr>
        <w:shd w:fill="ffffff" w:val="clear"/>
        <w:spacing w:line="240" w:lineRule="auto"/>
        <w:jc w:val="both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line="240" w:lineRule="auto"/>
        <w:jc w:val="both"/>
        <w:rPr>
          <w:color w:val="222222"/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Se le pide por favor que envíe el documento firmado a la brevedad posible. Le recordamos que la presentación de la licencia de comunicación pública, al igual que la documentación y/o material correspondiente a las otras obligaciones asumidas en su acta de compromiso, es requisito necesario para que la entrega de su proyecto sea considerada completa.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line="240" w:lineRule="auto"/>
        <w:jc w:val="both"/>
        <w:rPr>
          <w:color w:val="222222"/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Para cualquier consulta adicional, puede comunicarse con el área de Seguimiento al siguiente número y anexo: (01)6189393 - 3509.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premisocine@cultura.gob.pe" TargetMode="External"/><Relationship Id="rId7" Type="http://schemas.openxmlformats.org/officeDocument/2006/relationships/hyperlink" Target="https://plataformamincu.cultura.gob.p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